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D66CDB">
      <w:pPr>
        <w:widowControl/>
        <w:spacing w:line="480" w:lineRule="auto"/>
        <w:ind w:left="839" w:hanging="360"/>
        <w:textAlignment w:val="baseline"/>
        <w:rPr>
          <w:rFonts w:hint="eastAsia" w:ascii="宋体" w:hAnsi="宋体" w:eastAsia="宋体" w:cs="宋体"/>
          <w:b/>
          <w:bCs/>
          <w:color w:val="2D2E32"/>
          <w:kern w:val="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附件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2：医院商业区域及要求</w:t>
      </w:r>
    </w:p>
    <w:p w14:paraId="165BCA76"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为进一步完善医院配套服务设施，更好地为患者和职工提供生活便利，让地下商业街等处的作用得到充分发挥，为医院创造经济效益，拟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</w:rPr>
        <w:t>对医院地下商业街等5处面向社会公开招商。</w:t>
      </w:r>
    </w:p>
    <w:p w14:paraId="56A497BF">
      <w:pPr>
        <w:widowControl/>
        <w:numPr>
          <w:ilvl w:val="0"/>
          <w:numId w:val="1"/>
        </w:numPr>
        <w:ind w:firstLine="321" w:firstLineChars="100"/>
        <w:jc w:val="left"/>
        <w:rPr>
          <w:rFonts w:ascii="仿宋_GB2312" w:hAnsi="仿宋_GB2312" w:eastAsia="仿宋_GB2312" w:cs="仿宋_GB2312"/>
          <w:b/>
          <w:bCs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招商区域</w:t>
      </w:r>
    </w:p>
    <w:p w14:paraId="7DA92A08">
      <w:pPr>
        <w:widowControl/>
        <w:ind w:left="210"/>
        <w:jc w:val="left"/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（一）门诊楼北侧商业街：</w:t>
      </w:r>
    </w:p>
    <w:p w14:paraId="3C365C91">
      <w:pPr>
        <w:widowControl/>
        <w:adjustRightInd w:val="0"/>
        <w:snapToGrid w:val="0"/>
        <w:spacing w:beforeLines="50" w:line="276" w:lineRule="auto"/>
        <w:ind w:firstLine="640" w:firstLineChars="20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1、商业街东区房屋面积为148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8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㎡，共12间商铺，附属公共区域面积1211㎡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t>（平面图一）。</w:t>
      </w:r>
    </w:p>
    <w:p w14:paraId="0A405080">
      <w:pPr>
        <w:ind w:firstLine="640" w:firstLineChars="200"/>
        <w:jc w:val="left"/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2、</w:t>
      </w:r>
      <w:r>
        <w:rPr>
          <w:rFonts w:hint="eastAsia" w:ascii="仿宋_GB2312" w:hAnsi="仿宋_GB2312" w:eastAsia="仿宋_GB2312" w:cs="仿宋_GB2312"/>
          <w:sz w:val="32"/>
          <w:szCs w:val="32"/>
        </w:rPr>
        <w:t>租赁时间：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5年。</w:t>
      </w:r>
    </w:p>
    <w:p w14:paraId="20A58E99">
      <w:pPr>
        <w:widowControl/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ascii="仿宋_GB2312" w:hAnsi="仿宋_GB2312" w:eastAsia="仿宋_GB2312" w:cs="仿宋_GB2312"/>
          <w:kern w:val="0"/>
          <w:sz w:val="32"/>
          <w:szCs w:val="32"/>
          <w:lang w:val="en-US" w:eastAsia="zh-CN" w:bidi="ar-SA"/>
        </w:rPr>
        <w:t>3、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招商业态：</w:t>
      </w:r>
    </w:p>
    <w:p w14:paraId="60218762">
      <w:pPr>
        <w:widowControl/>
        <w:numPr>
          <w:ilvl w:val="0"/>
          <w:numId w:val="0"/>
        </w:numPr>
        <w:ind w:firstLine="640" w:firstLineChars="200"/>
        <w:jc w:val="left"/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精品购物、风味小吃、快餐店、文化创意、美容健身、蛋糕食品、水果鲜花、保健用品、读吧、茶吧、医疗器械、保健推拿、本土特产店、超市、生鲜蔬菜店、化妆品店等适合在本区域发展的项目，环保、生态、无污染、发展前景好，具有延伸性业态。</w:t>
      </w:r>
    </w:p>
    <w:p w14:paraId="4E955CE2">
      <w:pPr>
        <w:widowControl/>
        <w:numPr>
          <w:ilvl w:val="0"/>
          <w:numId w:val="2"/>
        </w:numPr>
        <w:jc w:val="left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门诊楼北侧商业街西区：</w:t>
      </w:r>
    </w:p>
    <w:p w14:paraId="4EE4432C">
      <w:pPr>
        <w:widowControl/>
        <w:ind w:firstLine="640" w:firstLineChars="20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1、商业街西区房屋面积为11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05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㎡，共9间商铺，附属公共区域面积1090㎡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t>（平面图二）。</w:t>
      </w:r>
    </w:p>
    <w:p w14:paraId="01907F0E">
      <w:pPr>
        <w:ind w:firstLine="640" w:firstLineChars="200"/>
        <w:jc w:val="left"/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2、</w:t>
      </w:r>
      <w:r>
        <w:rPr>
          <w:rFonts w:hint="eastAsia" w:ascii="仿宋_GB2312" w:hAnsi="仿宋_GB2312" w:eastAsia="仿宋_GB2312" w:cs="仿宋_GB2312"/>
          <w:sz w:val="32"/>
          <w:szCs w:val="32"/>
        </w:rPr>
        <w:t>租赁时间：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5年。</w:t>
      </w:r>
    </w:p>
    <w:p w14:paraId="33B8E53F">
      <w:pPr>
        <w:widowControl/>
        <w:numPr>
          <w:ilvl w:val="0"/>
          <w:numId w:val="0"/>
        </w:numPr>
        <w:ind w:firstLine="640" w:firstLineChars="200"/>
        <w:jc w:val="left"/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Fonts w:ascii="仿宋_GB2312" w:hAnsi="仿宋_GB2312" w:eastAsia="仿宋_GB2312" w:cs="仿宋_GB2312"/>
          <w:kern w:val="0"/>
          <w:sz w:val="32"/>
          <w:szCs w:val="32"/>
          <w:lang w:val="en-US" w:eastAsia="zh-CN" w:bidi="ar-SA"/>
        </w:rPr>
        <w:t>3、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招商业态：</w:t>
      </w:r>
    </w:p>
    <w:p w14:paraId="53E6FBEF">
      <w:pPr>
        <w:widowControl/>
        <w:ind w:firstLine="640" w:firstLineChars="20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精品购物、风味小吃、快餐店、文化创意、美容健身、蛋糕食品、水果鲜花、保健用品、读吧、茶吧、医疗器械、保健推拿、本土特产店、超市、生鲜蔬菜店、化妆品店等适合在本区域发展的项目，环保、生态、无污染、发展前景好，具有延伸性业态。</w:t>
      </w:r>
    </w:p>
    <w:p w14:paraId="2E77FFC1">
      <w:pPr>
        <w:widowControl/>
        <w:jc w:val="left"/>
        <w:rPr>
          <w:rFonts w:ascii="仿宋_GB2312" w:hAnsi="仿宋_GB2312" w:eastAsia="仿宋_GB2312" w:cs="仿宋_GB2312"/>
          <w:bCs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（三）住院部</w:t>
      </w:r>
      <w:r>
        <w:rPr>
          <w:rFonts w:hint="eastAsia" w:ascii="仿宋_GB2312" w:hAnsi="仿宋_GB2312" w:eastAsia="仿宋_GB2312" w:cs="仿宋_GB2312"/>
          <w:bCs/>
          <w:kern w:val="0"/>
          <w:sz w:val="32"/>
          <w:szCs w:val="32"/>
        </w:rPr>
        <w:t>A区一楼大厅</w:t>
      </w:r>
    </w:p>
    <w:p w14:paraId="72749093">
      <w:pPr>
        <w:ind w:firstLine="640" w:firstLineChars="20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1、住院部A区一楼大厅：使用面积为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403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㎡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t>（平面图三）。</w:t>
      </w:r>
    </w:p>
    <w:p w14:paraId="03960972">
      <w:pPr>
        <w:ind w:firstLine="640" w:firstLineChars="200"/>
        <w:jc w:val="left"/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2、</w:t>
      </w:r>
      <w:r>
        <w:rPr>
          <w:rFonts w:hint="eastAsia" w:ascii="仿宋_GB2312" w:hAnsi="仿宋_GB2312" w:eastAsia="仿宋_GB2312" w:cs="仿宋_GB2312"/>
          <w:sz w:val="32"/>
          <w:szCs w:val="32"/>
        </w:rPr>
        <w:t>租赁时间：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原则上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3-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5年。</w:t>
      </w:r>
    </w:p>
    <w:p w14:paraId="072D509E">
      <w:pPr>
        <w:widowControl/>
        <w:numPr>
          <w:ilvl w:val="0"/>
          <w:numId w:val="0"/>
        </w:numPr>
        <w:ind w:firstLine="640" w:firstLineChars="200"/>
        <w:jc w:val="left"/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Fonts w:ascii="仿宋_GB2312" w:hAnsi="仿宋_GB2312" w:eastAsia="仿宋_GB2312" w:cs="仿宋_GB2312"/>
          <w:kern w:val="0"/>
          <w:sz w:val="32"/>
          <w:szCs w:val="32"/>
          <w:lang w:val="en-US" w:eastAsia="zh-CN" w:bidi="ar-SA"/>
        </w:rPr>
        <w:t>3、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招商业态：</w:t>
      </w:r>
      <w:r>
        <w:rPr>
          <w:rFonts w:hint="eastAsia" w:ascii="仿宋_GB2312" w:hAnsi="仿宋_GB2312" w:eastAsia="仿宋_GB2312" w:cs="仿宋_GB2312"/>
          <w:bCs/>
          <w:kern w:val="0"/>
          <w:sz w:val="32"/>
          <w:szCs w:val="32"/>
        </w:rPr>
        <w:t>拟招商范围以品牌快餐店首选，还包括快餐店、读吧、茶吧、蛋糕食品、水果鲜花等。</w:t>
      </w:r>
    </w:p>
    <w:p w14:paraId="0AFC7ADF">
      <w:pPr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（四）住院部大厅C栋一楼处</w:t>
      </w:r>
    </w:p>
    <w:p w14:paraId="41B3DFF1">
      <w:pPr>
        <w:ind w:firstLine="640" w:firstLineChars="20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1、住院部大厅C栋一楼处：使用面积为4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㎡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t>（平面图四）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。</w:t>
      </w:r>
    </w:p>
    <w:p w14:paraId="10543B2D">
      <w:pPr>
        <w:ind w:firstLine="640" w:firstLineChars="200"/>
        <w:jc w:val="left"/>
        <w:rPr>
          <w:rFonts w:ascii="仿宋_GB2312" w:hAnsi="仿宋_GB2312" w:eastAsia="仿宋_GB2312" w:cs="仿宋_GB2312"/>
          <w:bCs/>
          <w:snapToGrid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2、</w:t>
      </w:r>
      <w:r>
        <w:rPr>
          <w:rFonts w:hint="eastAsia" w:ascii="仿宋_GB2312" w:hAnsi="仿宋_GB2312" w:eastAsia="仿宋_GB2312" w:cs="仿宋_GB2312"/>
          <w:sz w:val="32"/>
          <w:szCs w:val="32"/>
        </w:rPr>
        <w:t>租赁时间：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原则上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3-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5年。</w:t>
      </w:r>
    </w:p>
    <w:p w14:paraId="16AE94AE">
      <w:pPr>
        <w:widowControl/>
        <w:spacing w:line="360" w:lineRule="auto"/>
        <w:ind w:firstLine="640" w:firstLineChars="200"/>
        <w:jc w:val="left"/>
        <w:rPr>
          <w:rFonts w:ascii="仿宋_GB2312" w:hAnsi="仿宋_GB2312" w:eastAsia="仿宋_GB2312" w:cs="仿宋_GB2312"/>
          <w:snapToGrid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3、招商业态：拟招商范围医疗器械、母婴用品等。</w:t>
      </w:r>
    </w:p>
    <w:p w14:paraId="4AE9E1DD">
      <w:pPr>
        <w:widowControl/>
        <w:spacing w:line="360" w:lineRule="auto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（五）门诊部大厅一楼西收费处</w:t>
      </w:r>
    </w:p>
    <w:p w14:paraId="1D3D13BF">
      <w:pPr>
        <w:widowControl/>
        <w:spacing w:line="360" w:lineRule="auto"/>
        <w:ind w:firstLine="640" w:firstLineChars="20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1、门诊部大厅一楼西收费处：使用面积为144㎡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t>（平面图五）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。</w:t>
      </w:r>
    </w:p>
    <w:p w14:paraId="3B50A7AE">
      <w:pPr>
        <w:ind w:firstLine="640" w:firstLineChars="200"/>
        <w:jc w:val="left"/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2、</w:t>
      </w:r>
      <w:r>
        <w:rPr>
          <w:rFonts w:hint="eastAsia" w:ascii="仿宋_GB2312" w:hAnsi="仿宋_GB2312" w:eastAsia="仿宋_GB2312" w:cs="仿宋_GB2312"/>
          <w:sz w:val="32"/>
          <w:szCs w:val="32"/>
        </w:rPr>
        <w:t>租赁时间：</w:t>
      </w:r>
      <w:r>
        <w:rPr>
          <w:rFonts w:hint="eastAsia" w:ascii="仿宋_GB2312" w:hAnsi="仿宋_GB2312" w:eastAsia="仿宋_GB2312" w:cs="仿宋_GB2312"/>
          <w:bCs/>
          <w:kern w:val="0"/>
          <w:sz w:val="32"/>
          <w:szCs w:val="32"/>
        </w:rPr>
        <w:t>1年。</w:t>
      </w:r>
    </w:p>
    <w:p w14:paraId="6EABB955">
      <w:pPr>
        <w:widowControl/>
        <w:spacing w:line="360" w:lineRule="auto"/>
        <w:ind w:firstLine="640" w:firstLineChars="200"/>
        <w:jc w:val="left"/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3、招商业态：拟招商范围品牌咖啡店等。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同时根据医院的发展，可随时收回用作医院的科室发展，医院提供同样面积的区域给承包商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。</w:t>
      </w:r>
    </w:p>
    <w:p w14:paraId="6A19798F">
      <w:pPr>
        <w:widowControl/>
        <w:jc w:val="left"/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</w:rPr>
        <w:t>二、要求、服务及优惠：</w:t>
      </w:r>
    </w:p>
    <w:p w14:paraId="712F99C5">
      <w:pPr>
        <w:widowControl/>
        <w:spacing w:line="360" w:lineRule="auto"/>
        <w:ind w:firstLine="640" w:firstLineChars="20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1、可兼投兼中，一家可承包多处，也可分包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t>；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承包期限内，各区域保证金按照租金的20%收取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t>；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营运期间自付水、电费，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t>各商铺必须依法经营，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相关的经营许可证、营业执照、环保证件等手续办理及费用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所有从业人员需持证上岗，包括健康证等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t>；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商业区运营拟实行中标供应商“自主投入、自负盈亏、院方监管”的承包经营管理模式。</w:t>
      </w:r>
    </w:p>
    <w:p w14:paraId="10446DB8">
      <w:pPr>
        <w:widowControl/>
        <w:spacing w:line="360" w:lineRule="auto"/>
        <w:ind w:firstLine="640" w:firstLineChars="20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2、按照医院文化对商业服务人员的服务提出要求并培训，对于不能适应甲方医院文化，不具备现代服务理念，服务恶劣的人员，甲方有权要求乙方辞退。</w:t>
      </w:r>
    </w:p>
    <w:p w14:paraId="677E4502">
      <w:pPr>
        <w:widowControl/>
        <w:spacing w:line="360" w:lineRule="auto"/>
        <w:ind w:firstLine="640" w:firstLineChars="20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3、各商业区域不允许经营药店、寿衣店、起名店等，所经营的项目不能与院方的医疗业务有冲突之处，如有发现，立即停业整顿。</w:t>
      </w:r>
    </w:p>
    <w:p w14:paraId="7E041645">
      <w:pPr>
        <w:widowControl/>
        <w:spacing w:line="360" w:lineRule="auto"/>
        <w:ind w:firstLine="640" w:firstLineChars="20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、承包方需严格按照劳动法规定给予从业人员缴纳保险，凡商业从业人员发生安全责任事故，应由承包方承担全部责任。</w:t>
      </w:r>
    </w:p>
    <w:p w14:paraId="262C2848">
      <w:pPr>
        <w:widowControl/>
        <w:spacing w:line="360" w:lineRule="auto"/>
        <w:ind w:firstLine="640" w:firstLineChars="20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、院方提供水、电接口；由承包方根据实际需求改造使用（改造方案需经甲方同意）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t>；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院方提供职工卡消费设备终端（E餐通）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t>；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合同期满后，承包方提供的装修设施无偿赠送甲方。</w:t>
      </w:r>
    </w:p>
    <w:p w14:paraId="2CC23D04">
      <w:pPr>
        <w:widowControl/>
        <w:spacing w:line="360" w:lineRule="auto"/>
        <w:ind w:firstLine="640" w:firstLineChars="20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、给予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t>半年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免租期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t>（含装修期）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。</w:t>
      </w:r>
    </w:p>
    <w:p w14:paraId="7F9C8B12">
      <w:pPr>
        <w:widowControl/>
        <w:spacing w:line="360" w:lineRule="auto"/>
        <w:ind w:firstLine="640" w:firstLineChars="20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7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、免费提供一年的物业管理、安保及配套服务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一年后参照医院与第三方物业签订的物业收费标准执行（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0.05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元/m2/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t>天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，包含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t>环境清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洁、保安、工程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t>）。</w:t>
      </w:r>
    </w:p>
    <w:p w14:paraId="6EC93A17">
      <w:pPr>
        <w:widowControl/>
        <w:spacing w:line="360" w:lineRule="auto"/>
        <w:ind w:firstLine="640" w:firstLineChars="20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8、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t>产生的生活垃圾、餐厨垃圾由各商铺自行处理，不可随意丢放，可找有资质的第三方进行处理。也可由医院代为处理，收取一定的垃圾费用。</w:t>
      </w:r>
    </w:p>
    <w:p w14:paraId="09FE12BF">
      <w:pPr>
        <w:widowControl/>
        <w:spacing w:line="360" w:lineRule="auto"/>
        <w:ind w:firstLine="640" w:firstLineChars="20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9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、每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t>家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商户提供一个免费车位。</w:t>
      </w:r>
    </w:p>
    <w:p w14:paraId="6E5812CE">
      <w:pPr>
        <w:rPr>
          <w:rFonts w:hint="eastAsia" w:ascii="仿宋" w:hAnsi="仿宋" w:eastAsia="仿宋" w:cs="仿宋"/>
          <w:sz w:val="32"/>
          <w:szCs w:val="32"/>
          <w:lang w:eastAsia="zh-CN"/>
        </w:rPr>
      </w:pPr>
    </w:p>
    <w:p w14:paraId="01F170A8">
      <w:pPr>
        <w:rPr>
          <w:rFonts w:hint="eastAsia" w:ascii="仿宋" w:hAnsi="仿宋" w:eastAsia="仿宋" w:cs="仿宋"/>
          <w:sz w:val="32"/>
          <w:szCs w:val="32"/>
          <w:lang w:eastAsia="zh-CN"/>
        </w:rPr>
      </w:pPr>
    </w:p>
    <w:p w14:paraId="3DB15533">
      <w:pPr>
        <w:rPr>
          <w:rFonts w:hint="eastAsia" w:ascii="仿宋" w:hAnsi="仿宋" w:eastAsia="仿宋" w:cs="仿宋"/>
          <w:sz w:val="32"/>
          <w:szCs w:val="32"/>
          <w:lang w:eastAsia="zh-CN"/>
        </w:rPr>
      </w:pPr>
    </w:p>
    <w:p w14:paraId="3289B64D">
      <w:pPr>
        <w:rPr>
          <w:rFonts w:hint="eastAsia" w:ascii="仿宋" w:hAnsi="仿宋" w:eastAsia="仿宋" w:cs="仿宋"/>
          <w:sz w:val="32"/>
          <w:szCs w:val="32"/>
          <w:lang w:eastAsia="zh-CN"/>
        </w:rPr>
      </w:pPr>
    </w:p>
    <w:p w14:paraId="538481F0">
      <w:pPr>
        <w:rPr>
          <w:rFonts w:hint="eastAsia" w:ascii="仿宋" w:hAnsi="仿宋" w:eastAsia="仿宋" w:cs="仿宋"/>
          <w:sz w:val="32"/>
          <w:szCs w:val="32"/>
          <w:lang w:eastAsia="zh-CN"/>
        </w:rPr>
      </w:pPr>
    </w:p>
    <w:p w14:paraId="50244151">
      <w:pPr>
        <w:rPr>
          <w:rFonts w:hint="eastAsia" w:ascii="仿宋" w:hAnsi="仿宋" w:eastAsia="仿宋" w:cs="仿宋"/>
          <w:sz w:val="32"/>
          <w:szCs w:val="32"/>
          <w:lang w:eastAsia="zh-CN"/>
        </w:rPr>
      </w:pPr>
    </w:p>
    <w:p w14:paraId="1E577D21">
      <w:pPr>
        <w:rPr>
          <w:rFonts w:hint="eastAsia" w:ascii="仿宋" w:hAnsi="仿宋" w:eastAsia="仿宋" w:cs="仿宋"/>
          <w:sz w:val="32"/>
          <w:szCs w:val="32"/>
          <w:lang w:eastAsia="zh-CN"/>
        </w:rPr>
      </w:pPr>
    </w:p>
    <w:p w14:paraId="7D96D354">
      <w:pPr>
        <w:rPr>
          <w:rFonts w:hint="eastAsia" w:ascii="仿宋" w:hAnsi="仿宋" w:eastAsia="仿宋" w:cs="仿宋"/>
          <w:sz w:val="32"/>
          <w:szCs w:val="32"/>
          <w:lang w:eastAsia="zh-CN"/>
        </w:rPr>
      </w:pPr>
    </w:p>
    <w:p w14:paraId="7C9260E5">
      <w:pPr>
        <w:rPr>
          <w:rFonts w:hint="eastAsia" w:ascii="仿宋" w:hAnsi="仿宋" w:eastAsia="仿宋" w:cs="仿宋"/>
          <w:sz w:val="32"/>
          <w:szCs w:val="32"/>
          <w:lang w:eastAsia="zh-CN"/>
        </w:rPr>
      </w:pPr>
    </w:p>
    <w:p w14:paraId="28EC06B3">
      <w:pPr>
        <w:rPr>
          <w:rFonts w:hint="eastAsia" w:ascii="仿宋" w:hAnsi="仿宋" w:eastAsia="仿宋" w:cs="仿宋"/>
          <w:sz w:val="32"/>
          <w:szCs w:val="32"/>
          <w:lang w:eastAsia="zh-CN"/>
        </w:rPr>
      </w:pPr>
    </w:p>
    <w:p w14:paraId="06104B11">
      <w:pPr>
        <w:rPr>
          <w:rFonts w:hint="eastAsia" w:ascii="仿宋" w:hAnsi="仿宋" w:eastAsia="仿宋" w:cs="仿宋"/>
          <w:sz w:val="32"/>
          <w:szCs w:val="32"/>
          <w:lang w:eastAsia="zh-CN"/>
        </w:rPr>
      </w:pPr>
    </w:p>
    <w:p w14:paraId="502F6173">
      <w:pPr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br w:type="page"/>
      </w:r>
    </w:p>
    <w:p w14:paraId="30ECB8BA">
      <w:pPr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平面图一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:</w:t>
      </w:r>
    </w:p>
    <w:p w14:paraId="6D8B7746">
      <w:pPr>
        <w:rPr>
          <w:rFonts w:cs="Times New Roman" w:asciiTheme="minorEastAsia" w:hAnsiTheme="minorEastAsia"/>
          <w:b/>
          <w:kern w:val="0"/>
          <w:sz w:val="24"/>
        </w:rPr>
      </w:pPr>
      <w:r>
        <w:rPr>
          <w:rFonts w:cs="Times New Roman" w:asciiTheme="minorEastAsia" w:hAnsiTheme="minorEastAsia"/>
          <w:b/>
          <w:kern w:val="0"/>
          <w:sz w:val="24"/>
        </w:rPr>
        <w:drawing>
          <wp:inline distT="0" distB="0" distL="0" distR="0">
            <wp:extent cx="9612630" cy="4092575"/>
            <wp:effectExtent l="0" t="0" r="7620" b="3175"/>
            <wp:docPr id="3" name="图片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2.jp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rcRect t="27077" b="26075"/>
                    <a:stretch>
                      <a:fillRect/>
                    </a:stretch>
                  </pic:blipFill>
                  <pic:spPr>
                    <a:xfrm>
                      <a:off x="0" y="0"/>
                      <a:ext cx="9612630" cy="409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AC304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7AE37240">
      <w:pPr>
        <w:bidi w:val="0"/>
        <w:rPr>
          <w:rFonts w:hint="eastAsia"/>
          <w:lang w:val="en-US" w:eastAsia="zh-CN"/>
        </w:rPr>
      </w:pPr>
    </w:p>
    <w:p w14:paraId="00ACF5F3">
      <w:pPr>
        <w:bidi w:val="0"/>
        <w:rPr>
          <w:rFonts w:hint="eastAsia"/>
          <w:lang w:val="en-US" w:eastAsia="zh-CN"/>
        </w:rPr>
      </w:pPr>
    </w:p>
    <w:p w14:paraId="57B4D85E">
      <w:pPr>
        <w:bidi w:val="0"/>
        <w:rPr>
          <w:rFonts w:hint="eastAsia"/>
          <w:lang w:val="en-US" w:eastAsia="zh-CN"/>
        </w:rPr>
      </w:pPr>
    </w:p>
    <w:p w14:paraId="3CFCFD08">
      <w:pPr>
        <w:bidi w:val="0"/>
        <w:rPr>
          <w:rFonts w:hint="eastAsia"/>
          <w:lang w:val="en-US" w:eastAsia="zh-CN"/>
        </w:rPr>
      </w:pPr>
    </w:p>
    <w:p w14:paraId="3D46E7CA">
      <w:pPr>
        <w:bidi w:val="0"/>
        <w:rPr>
          <w:rFonts w:hint="eastAsia"/>
          <w:lang w:val="en-US" w:eastAsia="zh-CN"/>
        </w:rPr>
      </w:pPr>
    </w:p>
    <w:p w14:paraId="700A7B70">
      <w:pPr>
        <w:tabs>
          <w:tab w:val="left" w:pos="1368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 w14:paraId="6E1DDA36">
      <w:pPr>
        <w:tabs>
          <w:tab w:val="left" w:pos="1368"/>
        </w:tabs>
        <w:bidi w:val="0"/>
        <w:jc w:val="left"/>
        <w:rPr>
          <w:rFonts w:hint="eastAsia"/>
          <w:lang w:val="en-US" w:eastAsia="zh-CN"/>
        </w:rPr>
      </w:pPr>
    </w:p>
    <w:p w14:paraId="267047A0">
      <w:pPr>
        <w:tabs>
          <w:tab w:val="left" w:pos="1368"/>
        </w:tabs>
        <w:bidi w:val="0"/>
        <w:jc w:val="left"/>
        <w:rPr>
          <w:rFonts w:hint="eastAsia"/>
          <w:lang w:val="en-US" w:eastAsia="zh-CN"/>
        </w:rPr>
      </w:pPr>
    </w:p>
    <w:p w14:paraId="10856925">
      <w:pPr>
        <w:tabs>
          <w:tab w:val="left" w:pos="1368"/>
        </w:tabs>
        <w:bidi w:val="0"/>
        <w:jc w:val="left"/>
        <w:rPr>
          <w:rFonts w:hint="eastAsia"/>
          <w:lang w:val="en-US" w:eastAsia="zh-CN"/>
        </w:rPr>
      </w:pPr>
    </w:p>
    <w:p w14:paraId="02A3B817">
      <w:pPr>
        <w:tabs>
          <w:tab w:val="left" w:pos="1368"/>
        </w:tabs>
        <w:bidi w:val="0"/>
        <w:jc w:val="left"/>
        <w:rPr>
          <w:rFonts w:hint="eastAsia"/>
          <w:lang w:val="en-US" w:eastAsia="zh-CN"/>
        </w:rPr>
      </w:pPr>
    </w:p>
    <w:p w14:paraId="3825B81A">
      <w:pPr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平面图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二:</w:t>
      </w:r>
    </w:p>
    <w:p w14:paraId="2A604267">
      <w:pPr>
        <w:tabs>
          <w:tab w:val="left" w:pos="1368"/>
        </w:tabs>
        <w:bidi w:val="0"/>
        <w:jc w:val="left"/>
        <w:rPr>
          <w:rFonts w:cs="Times New Roman" w:asciiTheme="minorEastAsia" w:hAnsiTheme="minorEastAsia"/>
          <w:b/>
          <w:kern w:val="0"/>
          <w:sz w:val="24"/>
        </w:rPr>
      </w:pPr>
      <w:r>
        <w:rPr>
          <w:rFonts w:cs="Times New Roman" w:asciiTheme="minorEastAsia" w:hAnsiTheme="minorEastAsia"/>
          <w:b/>
          <w:kern w:val="0"/>
          <w:sz w:val="24"/>
        </w:rPr>
        <w:drawing>
          <wp:inline distT="0" distB="0" distL="0" distR="0">
            <wp:extent cx="9062720" cy="2874645"/>
            <wp:effectExtent l="0" t="0" r="5080" b="1905"/>
            <wp:docPr id="2" name="图片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1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t="23209" r="1950" b="22636"/>
                    <a:stretch>
                      <a:fillRect/>
                    </a:stretch>
                  </pic:blipFill>
                  <pic:spPr>
                    <a:xfrm>
                      <a:off x="0" y="0"/>
                      <a:ext cx="9062720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3F476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0A345332">
      <w:pPr>
        <w:bidi w:val="0"/>
        <w:rPr>
          <w:rFonts w:hint="eastAsia"/>
          <w:lang w:val="en-US" w:eastAsia="zh-CN"/>
        </w:rPr>
      </w:pPr>
    </w:p>
    <w:p w14:paraId="5CAD99DB">
      <w:pPr>
        <w:bidi w:val="0"/>
        <w:rPr>
          <w:rFonts w:hint="eastAsia"/>
          <w:lang w:val="en-US" w:eastAsia="zh-CN"/>
        </w:rPr>
      </w:pPr>
    </w:p>
    <w:p w14:paraId="22235760">
      <w:pPr>
        <w:bidi w:val="0"/>
        <w:rPr>
          <w:rFonts w:hint="eastAsia"/>
          <w:lang w:val="en-US" w:eastAsia="zh-CN"/>
        </w:rPr>
      </w:pPr>
    </w:p>
    <w:p w14:paraId="081437BA">
      <w:pPr>
        <w:tabs>
          <w:tab w:val="left" w:pos="1438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 w14:paraId="5096EAAC">
      <w:pPr>
        <w:tabs>
          <w:tab w:val="left" w:pos="1438"/>
        </w:tabs>
        <w:bidi w:val="0"/>
        <w:jc w:val="left"/>
        <w:rPr>
          <w:rFonts w:hint="eastAsia"/>
          <w:lang w:val="en-US" w:eastAsia="zh-CN"/>
        </w:rPr>
      </w:pPr>
    </w:p>
    <w:p w14:paraId="61DE42A4">
      <w:pPr>
        <w:tabs>
          <w:tab w:val="left" w:pos="1438"/>
        </w:tabs>
        <w:bidi w:val="0"/>
        <w:jc w:val="left"/>
        <w:rPr>
          <w:rFonts w:hint="eastAsia"/>
          <w:lang w:val="en-US" w:eastAsia="zh-CN"/>
        </w:rPr>
      </w:pPr>
    </w:p>
    <w:p w14:paraId="1389694F">
      <w:pPr>
        <w:tabs>
          <w:tab w:val="left" w:pos="1438"/>
        </w:tabs>
        <w:bidi w:val="0"/>
        <w:jc w:val="left"/>
        <w:rPr>
          <w:rFonts w:hint="eastAsia"/>
          <w:lang w:val="en-US" w:eastAsia="zh-CN"/>
        </w:rPr>
      </w:pPr>
    </w:p>
    <w:p w14:paraId="75492067">
      <w:pPr>
        <w:tabs>
          <w:tab w:val="left" w:pos="1438"/>
        </w:tabs>
        <w:bidi w:val="0"/>
        <w:jc w:val="left"/>
        <w:rPr>
          <w:rFonts w:hint="eastAsia"/>
          <w:lang w:val="en-US" w:eastAsia="zh-CN"/>
        </w:rPr>
      </w:pPr>
    </w:p>
    <w:p w14:paraId="16072BDB">
      <w:pPr>
        <w:tabs>
          <w:tab w:val="left" w:pos="1438"/>
        </w:tabs>
        <w:bidi w:val="0"/>
        <w:jc w:val="left"/>
        <w:rPr>
          <w:rFonts w:hint="eastAsia"/>
          <w:lang w:val="en-US" w:eastAsia="zh-CN"/>
        </w:rPr>
      </w:pPr>
    </w:p>
    <w:p w14:paraId="1B64A7CF">
      <w:pPr>
        <w:tabs>
          <w:tab w:val="left" w:pos="1438"/>
        </w:tabs>
        <w:bidi w:val="0"/>
        <w:jc w:val="left"/>
        <w:rPr>
          <w:rFonts w:hint="eastAsia"/>
          <w:lang w:val="en-US" w:eastAsia="zh-CN"/>
        </w:rPr>
      </w:pPr>
    </w:p>
    <w:p w14:paraId="5C2D164A">
      <w:pPr>
        <w:tabs>
          <w:tab w:val="left" w:pos="1438"/>
        </w:tabs>
        <w:bidi w:val="0"/>
        <w:jc w:val="left"/>
        <w:rPr>
          <w:rFonts w:hint="eastAsia"/>
          <w:lang w:val="en-US" w:eastAsia="zh-CN"/>
        </w:rPr>
      </w:pPr>
    </w:p>
    <w:p w14:paraId="696B41D5">
      <w:pPr>
        <w:tabs>
          <w:tab w:val="left" w:pos="1438"/>
        </w:tabs>
        <w:bidi w:val="0"/>
        <w:jc w:val="left"/>
        <w:rPr>
          <w:rFonts w:hint="eastAsia"/>
          <w:lang w:val="en-US" w:eastAsia="zh-CN"/>
        </w:rPr>
      </w:pPr>
    </w:p>
    <w:p w14:paraId="4A522BE0">
      <w:pPr>
        <w:tabs>
          <w:tab w:val="left" w:pos="1438"/>
        </w:tabs>
        <w:bidi w:val="0"/>
        <w:jc w:val="left"/>
        <w:rPr>
          <w:rFonts w:hint="eastAsia"/>
          <w:lang w:val="en-US" w:eastAsia="zh-CN"/>
        </w:rPr>
      </w:pPr>
    </w:p>
    <w:p w14:paraId="49651101">
      <w:pPr>
        <w:tabs>
          <w:tab w:val="left" w:pos="1438"/>
        </w:tabs>
        <w:bidi w:val="0"/>
        <w:jc w:val="left"/>
        <w:rPr>
          <w:rFonts w:hint="eastAsia"/>
          <w:lang w:val="en-US" w:eastAsia="zh-CN"/>
        </w:rPr>
      </w:pPr>
    </w:p>
    <w:p w14:paraId="3815A863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平面图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三：</w:t>
      </w:r>
    </w:p>
    <w:p w14:paraId="050128BF">
      <w:pPr>
        <w:tabs>
          <w:tab w:val="left" w:pos="1438"/>
        </w:tabs>
        <w:bidi w:val="0"/>
        <w:jc w:val="left"/>
        <w:rPr>
          <w:rFonts w:cs="Times New Roman" w:asciiTheme="minorEastAsia" w:hAnsiTheme="minorEastAsia"/>
          <w:b/>
          <w:kern w:val="0"/>
          <w:sz w:val="24"/>
        </w:rPr>
      </w:pPr>
      <w:r>
        <w:rPr>
          <w:rFonts w:cs="Times New Roman" w:asciiTheme="minorEastAsia" w:hAnsiTheme="minorEastAsia"/>
          <w:b/>
          <w:kern w:val="0"/>
          <w:sz w:val="24"/>
        </w:rPr>
        <w:drawing>
          <wp:inline distT="0" distB="0" distL="0" distR="0">
            <wp:extent cx="9768205" cy="5308600"/>
            <wp:effectExtent l="0" t="0" r="4445" b="6350"/>
            <wp:docPr id="8" name="图片 7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4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8205" cy="530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26E87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71D74F7C">
      <w:pPr>
        <w:bidi w:val="0"/>
        <w:rPr>
          <w:rFonts w:hint="eastAsia"/>
          <w:lang w:val="en-US" w:eastAsia="zh-CN"/>
        </w:rPr>
      </w:pPr>
    </w:p>
    <w:p w14:paraId="0D60BB2D">
      <w:pPr>
        <w:tabs>
          <w:tab w:val="left" w:pos="1648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 w14:paraId="2CE1D7E3">
      <w:pPr>
        <w:tabs>
          <w:tab w:val="left" w:pos="1648"/>
        </w:tabs>
        <w:bidi w:val="0"/>
        <w:jc w:val="left"/>
        <w:rPr>
          <w:rFonts w:hint="eastAsia"/>
          <w:lang w:val="en-US" w:eastAsia="zh-CN"/>
        </w:rPr>
      </w:pPr>
    </w:p>
    <w:p w14:paraId="49C2848F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平面图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四：</w:t>
      </w:r>
    </w:p>
    <w:p w14:paraId="0BCA9202">
      <w:pPr>
        <w:rPr>
          <w:rFonts w:cs="Times New Roman" w:asciiTheme="minorEastAsia" w:hAnsiTheme="minorEastAsia"/>
          <w:b/>
          <w:kern w:val="0"/>
          <w:sz w:val="24"/>
        </w:rPr>
      </w:pPr>
      <w:r>
        <w:rPr>
          <w:rFonts w:cs="Times New Roman" w:asciiTheme="minorEastAsia" w:hAnsiTheme="minorEastAsia"/>
          <w:b/>
          <w:kern w:val="0"/>
          <w:sz w:val="24"/>
        </w:rPr>
        <w:drawing>
          <wp:inline distT="0" distB="0" distL="0" distR="0">
            <wp:extent cx="10085070" cy="5547360"/>
            <wp:effectExtent l="0" t="0" r="11430" b="15240"/>
            <wp:docPr id="9" name="图片 8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5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5070" cy="554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4A151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5D0B687A">
      <w:pPr>
        <w:bidi w:val="0"/>
        <w:ind w:firstLine="373" w:firstLineChars="0"/>
        <w:jc w:val="left"/>
        <w:rPr>
          <w:rFonts w:hint="eastAsia"/>
          <w:lang w:val="en-US" w:eastAsia="zh-CN"/>
        </w:rPr>
      </w:pPr>
    </w:p>
    <w:p w14:paraId="5432B025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平面图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五：</w:t>
      </w:r>
    </w:p>
    <w:p w14:paraId="4A01AA10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cs="Times New Roman" w:asciiTheme="minorEastAsia" w:hAnsiTheme="minorEastAsia"/>
          <w:b/>
          <w:kern w:val="0"/>
          <w:sz w:val="24"/>
        </w:rPr>
        <w:drawing>
          <wp:inline distT="0" distB="0" distL="0" distR="0">
            <wp:extent cx="9423400" cy="4841240"/>
            <wp:effectExtent l="0" t="0" r="6350" b="16510"/>
            <wp:docPr id="7" name="图片 6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3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3400" cy="484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8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CC66224"/>
    <w:multiLevelType w:val="singleLevel"/>
    <w:tmpl w:val="ACC66224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CB45B78E"/>
    <w:multiLevelType w:val="singleLevel"/>
    <w:tmpl w:val="CB45B78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NmZTQ4NmM2YmRiM2ZhNTgxNjRjODU0NWVkN2M1YjIifQ=="/>
  </w:docVars>
  <w:rsids>
    <w:rsidRoot w:val="1CE4007A"/>
    <w:rsid w:val="10132964"/>
    <w:rsid w:val="1CE4007A"/>
    <w:rsid w:val="2A6729B3"/>
    <w:rsid w:val="3F5E1222"/>
    <w:rsid w:val="46CA4CAA"/>
    <w:rsid w:val="56D36FB6"/>
    <w:rsid w:val="58C1043E"/>
    <w:rsid w:val="5D481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1341</Words>
  <Characters>1371</Characters>
  <Lines>0</Lines>
  <Paragraphs>0</Paragraphs>
  <TotalTime>0</TotalTime>
  <ScaleCrop>false</ScaleCrop>
  <LinksUpToDate>false</LinksUpToDate>
  <CharactersWithSpaces>1374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2024-08-01T01:41:00Z</dcterms:created>
  <dc:creator>刘炳坤</dc:creator>
  <cp:lastModifiedBy>Hui_</cp:lastModifiedBy>
  <dcterms:modified xsi:type="dcterms:W3CDTF">2024-08-07T02:11:43Z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93877263F7474DEB921B797A32EF0D7B_11</vt:lpwstr>
  </property>
</Properties>
</file>